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52" w:rsidRPr="00423F45" w:rsidRDefault="00101239" w:rsidP="00F06F64">
      <w:pPr>
        <w:pStyle w:val="Titel"/>
        <w:rPr>
          <w:color w:val="92D050"/>
        </w:rPr>
      </w:pPr>
      <w:r>
        <w:rPr>
          <w:color w:val="92D050"/>
          <w:sz w:val="36"/>
          <w:szCs w:val="36"/>
        </w:rPr>
        <w:t>DATANIS SERVICE</w:t>
      </w:r>
      <w:r w:rsidR="00D551E8">
        <w:rPr>
          <w:color w:val="92D050"/>
          <w:sz w:val="36"/>
          <w:szCs w:val="36"/>
        </w:rPr>
        <w:t>-SHEET</w:t>
      </w:r>
      <w:r>
        <w:rPr>
          <w:color w:val="92D050"/>
          <w:sz w:val="36"/>
          <w:szCs w:val="36"/>
        </w:rPr>
        <w:t xml:space="preserve"> zum THEMA </w:t>
      </w:r>
      <w:r w:rsidR="008D1DDA">
        <w:rPr>
          <w:color w:val="92D050"/>
          <w:sz w:val="36"/>
          <w:szCs w:val="36"/>
        </w:rPr>
        <w:t>Fanpages</w:t>
      </w:r>
    </w:p>
    <w:p w:rsidR="002977CE" w:rsidRPr="00F06F64" w:rsidRDefault="003572C2" w:rsidP="00F06F64">
      <w:pPr>
        <w:pStyle w:val="berschrift1"/>
        <w:shd w:val="clear" w:color="auto" w:fill="92D050"/>
        <w:rPr>
          <w:b/>
          <w:caps w:val="0"/>
        </w:rPr>
      </w:pPr>
      <w:bookmarkStart w:id="0" w:name="_Hlk508382183"/>
      <w:r>
        <w:rPr>
          <w:b/>
        </w:rPr>
        <w:t xml:space="preserve">NAch dem Urteil des EUGH </w:t>
      </w:r>
      <w:r w:rsidR="00CB7DD0">
        <w:rPr>
          <w:b/>
        </w:rPr>
        <w:t>(</w:t>
      </w:r>
      <w:r w:rsidR="00CB7DD0" w:rsidRPr="00CB7DD0">
        <w:rPr>
          <w:b/>
        </w:rPr>
        <w:t>EuGH, Urteil vom 05.06.2018, Az. C-210/</w:t>
      </w:r>
      <w:proofErr w:type="gramStart"/>
      <w:r w:rsidR="00CB7DD0" w:rsidRPr="00CB7DD0">
        <w:rPr>
          <w:b/>
        </w:rPr>
        <w:t xml:space="preserve">16 </w:t>
      </w:r>
      <w:r w:rsidR="00CB7DD0">
        <w:rPr>
          <w:b/>
        </w:rPr>
        <w:t>)</w:t>
      </w:r>
      <w:proofErr w:type="gramEnd"/>
      <w:r w:rsidR="00CB7DD0">
        <w:rPr>
          <w:b/>
        </w:rPr>
        <w:t xml:space="preserve"> </w:t>
      </w:r>
      <w:r>
        <w:rPr>
          <w:b/>
        </w:rPr>
        <w:t>zur gemeinsamen Haftung und Verantwortlichkeit de</w:t>
      </w:r>
      <w:r w:rsidR="0017144F">
        <w:rPr>
          <w:b/>
        </w:rPr>
        <w:t>s DAtenschutzes von Facebook und dem Inhaber einer Facebook Fanpage</w:t>
      </w:r>
      <w:r w:rsidR="002977CE" w:rsidRPr="00F06F64">
        <w:rPr>
          <w:b/>
          <w:caps w:val="0"/>
        </w:rPr>
        <w:tab/>
      </w:r>
      <w:r w:rsidR="002977CE" w:rsidRPr="00F06F64">
        <w:rPr>
          <w:b/>
          <w:caps w:val="0"/>
        </w:rPr>
        <w:tab/>
      </w:r>
      <w:r w:rsidR="002977CE" w:rsidRPr="00F06F64">
        <w:rPr>
          <w:b/>
          <w:caps w:val="0"/>
        </w:rPr>
        <w:tab/>
      </w:r>
      <w:r w:rsidR="002977CE" w:rsidRPr="00F06F64">
        <w:rPr>
          <w:b/>
          <w:caps w:val="0"/>
        </w:rPr>
        <w:tab/>
      </w:r>
    </w:p>
    <w:tbl>
      <w:tblPr>
        <w:tblStyle w:val="TabellemithellemGitternetz"/>
        <w:tblW w:w="0" w:type="auto"/>
        <w:tblLook w:val="04A0" w:firstRow="1" w:lastRow="0" w:firstColumn="1" w:lastColumn="0" w:noHBand="0" w:noVBand="1"/>
      </w:tblPr>
      <w:tblGrid>
        <w:gridCol w:w="9737"/>
      </w:tblGrid>
      <w:tr w:rsidR="002977CE" w:rsidTr="003962EB">
        <w:trPr>
          <w:trHeight w:val="9572"/>
        </w:trPr>
        <w:tc>
          <w:tcPr>
            <w:tcW w:w="9737" w:type="dxa"/>
          </w:tcPr>
          <w:bookmarkEnd w:id="0"/>
          <w:p w:rsidR="00D31F21" w:rsidRPr="00D31F21" w:rsidRDefault="009072B6" w:rsidP="00D31F21">
            <w:pPr>
              <w:rPr>
                <w:rFonts w:asciiTheme="majorHAnsi" w:hAnsiTheme="majorHAnsi"/>
              </w:rPr>
            </w:pPr>
            <w:r>
              <w:rPr>
                <w:rFonts w:asciiTheme="majorHAnsi" w:hAnsiTheme="majorHAnsi"/>
              </w:rPr>
              <w:br/>
            </w:r>
            <w:r w:rsidR="00D31F21" w:rsidRPr="00D31F21">
              <w:rPr>
                <w:rFonts w:asciiTheme="majorHAnsi" w:hAnsiTheme="majorHAnsi"/>
              </w:rPr>
              <w:t xml:space="preserve">Das Urteil </w:t>
            </w:r>
            <w:proofErr w:type="gramStart"/>
            <w:r w:rsidR="00D31F21" w:rsidRPr="00D31F21">
              <w:rPr>
                <w:rFonts w:asciiTheme="majorHAnsi" w:hAnsiTheme="majorHAnsi"/>
              </w:rPr>
              <w:t>des EuGH</w:t>
            </w:r>
            <w:proofErr w:type="gramEnd"/>
            <w:r w:rsidR="00D31F21" w:rsidRPr="00D31F21">
              <w:rPr>
                <w:rFonts w:asciiTheme="majorHAnsi" w:hAnsiTheme="majorHAnsi"/>
              </w:rPr>
              <w:t xml:space="preserve"> </w:t>
            </w:r>
            <w:r w:rsidR="00CB7DD0">
              <w:rPr>
                <w:rFonts w:asciiTheme="majorHAnsi" w:hAnsiTheme="majorHAnsi"/>
              </w:rPr>
              <w:t>(</w:t>
            </w:r>
            <w:r w:rsidR="00CB7DD0" w:rsidRPr="00CB7DD0">
              <w:rPr>
                <w:rFonts w:asciiTheme="majorHAnsi" w:hAnsiTheme="majorHAnsi"/>
              </w:rPr>
              <w:t>EuGH, Urteil vom 05.06.2018,</w:t>
            </w:r>
            <w:r w:rsidR="00CB7DD0">
              <w:rPr>
                <w:rFonts w:asciiTheme="majorHAnsi" w:hAnsiTheme="majorHAnsi"/>
              </w:rPr>
              <w:t xml:space="preserve"> </w:t>
            </w:r>
            <w:r w:rsidR="00CB7DD0" w:rsidRPr="00CB7DD0">
              <w:rPr>
                <w:rFonts w:asciiTheme="majorHAnsi" w:hAnsiTheme="majorHAnsi"/>
              </w:rPr>
              <w:t>Az. C-210/16</w:t>
            </w:r>
            <w:r w:rsidR="00CB7DD0">
              <w:rPr>
                <w:rFonts w:asciiTheme="majorHAnsi" w:hAnsiTheme="majorHAnsi"/>
              </w:rPr>
              <w:t xml:space="preserve">) </w:t>
            </w:r>
            <w:r w:rsidR="00D31F21" w:rsidRPr="00D31F21">
              <w:rPr>
                <w:rFonts w:asciiTheme="majorHAnsi" w:hAnsiTheme="majorHAnsi"/>
              </w:rPr>
              <w:t>zur Verantwortlichkeit von Fanpages-Betreiber hat für Verunsicherung bei vielen Unternehmen und Agenturen gesorgt. Der EuGH hatte nach jahrelangem Rechtsstreit entschieden, dass bei möglichen Datenschutzverstößen sowohl Facebook als auch die Betreiber von Fanpages gemeinsam verantwortlich sind.</w:t>
            </w:r>
          </w:p>
          <w:p w:rsidR="00D31F21" w:rsidRPr="00D31F21" w:rsidRDefault="00D31F21" w:rsidP="00D31F21">
            <w:pPr>
              <w:rPr>
                <w:rFonts w:asciiTheme="majorHAnsi" w:hAnsiTheme="majorHAnsi"/>
              </w:rPr>
            </w:pPr>
          </w:p>
          <w:p w:rsidR="00D31F21" w:rsidRPr="00D31F21" w:rsidRDefault="00D31F21" w:rsidP="00D31F21">
            <w:pPr>
              <w:rPr>
                <w:rFonts w:asciiTheme="majorHAnsi" w:hAnsiTheme="majorHAnsi"/>
              </w:rPr>
            </w:pPr>
            <w:r w:rsidRPr="00D31F21">
              <w:rPr>
                <w:rFonts w:asciiTheme="majorHAnsi" w:hAnsiTheme="majorHAnsi"/>
              </w:rPr>
              <w:t>Aber: Als Fanpage Betreiber haben Sie praktisch kaum Einfluss auf die Speicherung und Verwertung der Nutzer-Daten durch Facebook.</w:t>
            </w:r>
          </w:p>
          <w:p w:rsidR="00D31F21" w:rsidRPr="00D31F21" w:rsidRDefault="00E53895" w:rsidP="00D31F21">
            <w:pPr>
              <w:rPr>
                <w:rFonts w:asciiTheme="majorHAnsi" w:hAnsiTheme="majorHAnsi"/>
              </w:rPr>
            </w:pPr>
            <w:r>
              <w:rPr>
                <w:rFonts w:asciiTheme="majorHAnsi" w:hAnsiTheme="majorHAnsi"/>
              </w:rPr>
              <w:br/>
            </w:r>
            <w:r w:rsidR="00D31F21" w:rsidRPr="00D31F21">
              <w:rPr>
                <w:rFonts w:asciiTheme="majorHAnsi" w:hAnsiTheme="majorHAnsi"/>
              </w:rPr>
              <w:t>Was können Sie als Fanpage Betreiber denn nun tun?</w:t>
            </w:r>
          </w:p>
          <w:p w:rsidR="00D31F21" w:rsidRPr="00D31F21" w:rsidRDefault="00D31F21" w:rsidP="00D31F21">
            <w:pPr>
              <w:rPr>
                <w:rFonts w:asciiTheme="majorHAnsi" w:hAnsiTheme="majorHAnsi"/>
              </w:rPr>
            </w:pPr>
          </w:p>
          <w:p w:rsidR="00D31F21" w:rsidRPr="00D31F21" w:rsidRDefault="00D31F21" w:rsidP="00D31F21">
            <w:pPr>
              <w:rPr>
                <w:rFonts w:asciiTheme="majorHAnsi" w:hAnsiTheme="majorHAnsi"/>
              </w:rPr>
            </w:pPr>
            <w:r w:rsidRPr="00D31F21">
              <w:rPr>
                <w:rFonts w:asciiTheme="majorHAnsi" w:hAnsiTheme="majorHAnsi"/>
              </w:rPr>
              <w:t>Klar: Das Abschalten der Fanpage ist die wahrscheinlich sicherste Lösung. Diese dürften für viele Unternehmen aber aus wirtschaftlichen Gründen kaum in Betracht kommen.</w:t>
            </w:r>
          </w:p>
          <w:p w:rsidR="00D31F21" w:rsidRPr="00D31F21" w:rsidRDefault="00D31F21" w:rsidP="00D31F21">
            <w:pPr>
              <w:rPr>
                <w:rFonts w:asciiTheme="majorHAnsi" w:hAnsiTheme="majorHAnsi"/>
              </w:rPr>
            </w:pPr>
          </w:p>
          <w:p w:rsidR="00D31F21" w:rsidRPr="00D31F21" w:rsidRDefault="00D31F21" w:rsidP="00D31F21">
            <w:pPr>
              <w:rPr>
                <w:rFonts w:asciiTheme="majorHAnsi" w:hAnsiTheme="majorHAnsi"/>
              </w:rPr>
            </w:pPr>
            <w:r w:rsidRPr="00D31F21">
              <w:rPr>
                <w:rFonts w:asciiTheme="majorHAnsi" w:hAnsiTheme="majorHAnsi"/>
              </w:rPr>
              <w:t>Und Facebook? Facebook hat zwar reagiert und in einem Statement darauf hingewiesen, dass die Plattform in den nächsten Tagen mit entsprechenden Änderungen der Nutzungsbedingungen und Datenschutzrichtlinien die Verantwortung der Plattform klarer regeln wird, um dem EuGH-Urteil zu entsprechen:</w:t>
            </w:r>
          </w:p>
          <w:p w:rsidR="00D31F21" w:rsidRPr="00D31F21" w:rsidRDefault="00D31F21" w:rsidP="00D31F21">
            <w:pPr>
              <w:rPr>
                <w:rFonts w:asciiTheme="majorHAnsi" w:hAnsiTheme="majorHAnsi"/>
              </w:rPr>
            </w:pPr>
            <w:r w:rsidRPr="00D31F21">
              <w:rPr>
                <w:rFonts w:asciiTheme="majorHAnsi" w:hAnsiTheme="majorHAnsi"/>
              </w:rPr>
              <w:t>https://de.newsroom.fb.com/news/2018/06/ein-update-fuer-betreiber-von-facebook-seiten/</w:t>
            </w:r>
          </w:p>
          <w:p w:rsidR="00D31F21" w:rsidRPr="00D31F21" w:rsidRDefault="00D31F21" w:rsidP="00D31F21">
            <w:pPr>
              <w:rPr>
                <w:rFonts w:asciiTheme="majorHAnsi" w:hAnsiTheme="majorHAnsi"/>
              </w:rPr>
            </w:pPr>
          </w:p>
          <w:p w:rsidR="00D31F21" w:rsidRPr="00D31F21" w:rsidRDefault="00D31F21" w:rsidP="00D31F21">
            <w:pPr>
              <w:rPr>
                <w:rFonts w:asciiTheme="majorHAnsi" w:hAnsiTheme="majorHAnsi"/>
              </w:rPr>
            </w:pPr>
            <w:r w:rsidRPr="00D31F21">
              <w:rPr>
                <w:rFonts w:asciiTheme="majorHAnsi" w:hAnsiTheme="majorHAnsi"/>
              </w:rPr>
              <w:t>Das sollten Sie als Fanpage-Betreiber im Auge behalten.</w:t>
            </w:r>
          </w:p>
          <w:p w:rsidR="00D31F21" w:rsidRPr="00D31F21" w:rsidRDefault="00D31F21" w:rsidP="00D31F21">
            <w:pPr>
              <w:rPr>
                <w:rFonts w:asciiTheme="majorHAnsi" w:hAnsiTheme="majorHAnsi"/>
              </w:rPr>
            </w:pPr>
          </w:p>
          <w:p w:rsidR="00D31F21" w:rsidRPr="00D31F21" w:rsidRDefault="00D31F21" w:rsidP="00D31F21">
            <w:pPr>
              <w:rPr>
                <w:rFonts w:asciiTheme="majorHAnsi" w:hAnsiTheme="majorHAnsi"/>
              </w:rPr>
            </w:pPr>
            <w:r w:rsidRPr="00D31F21">
              <w:rPr>
                <w:rFonts w:asciiTheme="majorHAnsi" w:hAnsiTheme="majorHAnsi"/>
              </w:rPr>
              <w:t>Als eRecht24 Premium Agentur Partner können wir unseren Kunden bis zur abschlie</w:t>
            </w:r>
            <w:r w:rsidR="00C558A1">
              <w:rPr>
                <w:rFonts w:asciiTheme="majorHAnsi" w:hAnsiTheme="majorHAnsi"/>
              </w:rPr>
              <w:t>ß</w:t>
            </w:r>
            <w:r w:rsidRPr="00D31F21">
              <w:rPr>
                <w:rFonts w:asciiTheme="majorHAnsi" w:hAnsiTheme="majorHAnsi"/>
              </w:rPr>
              <w:t>enden Klärung durch Gesetze und Rechtsprechung dieses empfehlen:</w:t>
            </w:r>
          </w:p>
          <w:p w:rsidR="00D31F21" w:rsidRPr="00D31F21" w:rsidRDefault="00D31F21" w:rsidP="00D31F21">
            <w:pPr>
              <w:rPr>
                <w:rFonts w:asciiTheme="majorHAnsi" w:hAnsiTheme="majorHAnsi"/>
              </w:rPr>
            </w:pPr>
          </w:p>
          <w:p w:rsidR="00D31F21" w:rsidRPr="00D31F21" w:rsidRDefault="00D31F21" w:rsidP="00D31F21">
            <w:pPr>
              <w:rPr>
                <w:rFonts w:asciiTheme="majorHAnsi" w:hAnsiTheme="majorHAnsi"/>
              </w:rPr>
            </w:pPr>
            <w:r w:rsidRPr="00D31F21">
              <w:rPr>
                <w:rFonts w:asciiTheme="majorHAnsi" w:hAnsiTheme="majorHAnsi"/>
              </w:rPr>
              <w:t>1. Bereiten Sie auf Ihrer Hom</w:t>
            </w:r>
            <w:r w:rsidR="00C558A1">
              <w:rPr>
                <w:rFonts w:asciiTheme="majorHAnsi" w:hAnsiTheme="majorHAnsi"/>
              </w:rPr>
              <w:t>e</w:t>
            </w:r>
            <w:r w:rsidRPr="00D31F21">
              <w:rPr>
                <w:rFonts w:asciiTheme="majorHAnsi" w:hAnsiTheme="majorHAnsi"/>
              </w:rPr>
              <w:t xml:space="preserve">page innerhalb Ihrer Datenschutzerklärung einen entsprechenden Inhalt vor (siehe Vorlage </w:t>
            </w:r>
            <w:r w:rsidR="00B65FDC" w:rsidRPr="00B65FDC">
              <w:rPr>
                <w:rFonts w:asciiTheme="majorHAnsi" w:hAnsiTheme="majorHAnsi"/>
              </w:rPr>
              <w:t>s_1_</w:t>
            </w:r>
            <w:r w:rsidR="00B65FDC">
              <w:rPr>
                <w:rFonts w:asciiTheme="majorHAnsi" w:hAnsiTheme="majorHAnsi"/>
              </w:rPr>
              <w:t>2_</w:t>
            </w:r>
            <w:r w:rsidR="00B65FDC" w:rsidRPr="00B65FDC">
              <w:rPr>
                <w:rFonts w:asciiTheme="majorHAnsi" w:hAnsiTheme="majorHAnsi"/>
              </w:rPr>
              <w:t>DATANIS_Social_Media_Hinweise_Plattform_Version_101_Kundenversion</w:t>
            </w:r>
            <w:r w:rsidRPr="00D31F21">
              <w:rPr>
                <w:rFonts w:asciiTheme="majorHAnsi" w:hAnsiTheme="majorHAnsi"/>
              </w:rPr>
              <w:t>)</w:t>
            </w:r>
          </w:p>
          <w:p w:rsidR="00D31F21" w:rsidRPr="00D31F21" w:rsidRDefault="00D31F21" w:rsidP="00D31F21">
            <w:pPr>
              <w:rPr>
                <w:rFonts w:asciiTheme="majorHAnsi" w:hAnsiTheme="majorHAnsi"/>
              </w:rPr>
            </w:pPr>
            <w:r w:rsidRPr="00D31F21">
              <w:rPr>
                <w:rFonts w:asciiTheme="majorHAnsi" w:hAnsiTheme="majorHAnsi"/>
              </w:rPr>
              <w:t>2. Setzen Sie auf Ihrer Fanpage (Facebook, Twitter, etc. - bitte keinen vergessen) einen Link auf den unter 1. vorbereiteten Passus. Suchen Sie ein wenig, wo innerhalb Ihres Profils beim jeweiligen Portal ein solcher Link schnell zu finden ist.</w:t>
            </w:r>
          </w:p>
          <w:p w:rsidR="00D31F21" w:rsidRPr="00D31F21" w:rsidRDefault="00D31F21" w:rsidP="00D31F21">
            <w:pPr>
              <w:rPr>
                <w:rFonts w:asciiTheme="majorHAnsi" w:hAnsiTheme="majorHAnsi"/>
              </w:rPr>
            </w:pPr>
            <w:r w:rsidRPr="00D31F21">
              <w:rPr>
                <w:rFonts w:asciiTheme="majorHAnsi" w:hAnsiTheme="majorHAnsi"/>
              </w:rPr>
              <w:t>Bei Facebook können Sie dies unter „Info“ –&gt; “Bearbeiten Datenrichtlinie“ tun.</w:t>
            </w:r>
          </w:p>
          <w:p w:rsidR="009072B6" w:rsidRDefault="00D31F21" w:rsidP="00D31F21">
            <w:pPr>
              <w:rPr>
                <w:rFonts w:asciiTheme="majorHAnsi" w:hAnsiTheme="majorHAnsi"/>
              </w:rPr>
            </w:pPr>
            <w:r w:rsidRPr="00D31F21">
              <w:rPr>
                <w:rFonts w:asciiTheme="majorHAnsi" w:hAnsiTheme="majorHAnsi"/>
              </w:rPr>
              <w:t>Benennen Sie diesen Link in etwa mit: Datenschutzerklärung zur gemeinsamen Verantwortlichkeit.</w:t>
            </w:r>
          </w:p>
          <w:p w:rsidR="003962EB" w:rsidRDefault="003962EB" w:rsidP="003962EB"/>
          <w:p w:rsidR="003962EB" w:rsidRDefault="003962EB" w:rsidP="003962EB"/>
          <w:p w:rsidR="003962EB" w:rsidRPr="003962EB" w:rsidRDefault="003962EB" w:rsidP="003962EB">
            <w:pPr>
              <w:rPr>
                <w:rFonts w:asciiTheme="majorHAnsi" w:hAnsiTheme="majorHAnsi"/>
              </w:rPr>
            </w:pPr>
          </w:p>
        </w:tc>
      </w:tr>
    </w:tbl>
    <w:p w:rsidR="003C6CA5" w:rsidRDefault="00C329D5" w:rsidP="003157C5">
      <w:r>
        <w:tab/>
      </w:r>
      <w:r>
        <w:tab/>
      </w:r>
    </w:p>
    <w:sectPr w:rsidR="003C6CA5" w:rsidSect="00D458B1">
      <w:headerReference w:type="even" r:id="rId10"/>
      <w:headerReference w:type="default" r:id="rId11"/>
      <w:footerReference w:type="even" r:id="rId12"/>
      <w:footerReference w:type="default" r:id="rId13"/>
      <w:headerReference w:type="first" r:id="rId14"/>
      <w:footerReference w:type="first" r:id="rId15"/>
      <w:pgSz w:w="11907" w:h="16839" w:code="9"/>
      <w:pgMar w:top="1440" w:right="1080" w:bottom="1080" w:left="1080" w:header="8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2D" w:rsidRDefault="00A0142D">
      <w:pPr>
        <w:spacing w:before="0" w:after="0"/>
      </w:pPr>
      <w:r>
        <w:separator/>
      </w:r>
    </w:p>
  </w:endnote>
  <w:endnote w:type="continuationSeparator" w:id="0">
    <w:p w:rsidR="00A0142D" w:rsidRDefault="00A014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C1" w:rsidRDefault="006806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C1" w:rsidRDefault="006806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168314"/>
      <w:docPartObj>
        <w:docPartGallery w:val="Page Numbers (Bottom of Page)"/>
        <w:docPartUnique/>
      </w:docPartObj>
    </w:sdtPr>
    <w:sdtEndPr>
      <w:rPr>
        <w:rFonts w:asciiTheme="majorHAnsi" w:hAnsiTheme="majorHAnsi"/>
      </w:rPr>
    </w:sdtEndPr>
    <w:sdtContent>
      <w:p w:rsidR="006806C1" w:rsidRPr="006806C1" w:rsidRDefault="006806C1">
        <w:pPr>
          <w:pStyle w:val="Fuzeile"/>
          <w:jc w:val="right"/>
          <w:rPr>
            <w:rFonts w:asciiTheme="majorHAnsi" w:hAnsiTheme="majorHAnsi"/>
          </w:rPr>
        </w:pPr>
        <w:r w:rsidRPr="006806C1">
          <w:rPr>
            <w:rFonts w:asciiTheme="majorHAnsi" w:hAnsiTheme="majorHAnsi"/>
          </w:rPr>
          <w:fldChar w:fldCharType="begin"/>
        </w:r>
        <w:r w:rsidRPr="006806C1">
          <w:rPr>
            <w:rFonts w:asciiTheme="majorHAnsi" w:hAnsiTheme="majorHAnsi"/>
          </w:rPr>
          <w:instrText>PAGE   \* MERGEFORMAT</w:instrText>
        </w:r>
        <w:r w:rsidRPr="006806C1">
          <w:rPr>
            <w:rFonts w:asciiTheme="majorHAnsi" w:hAnsiTheme="majorHAnsi"/>
          </w:rPr>
          <w:fldChar w:fldCharType="separate"/>
        </w:r>
        <w:r w:rsidRPr="006806C1">
          <w:rPr>
            <w:rFonts w:asciiTheme="majorHAnsi" w:hAnsiTheme="majorHAnsi"/>
          </w:rPr>
          <w:t>2</w:t>
        </w:r>
        <w:r w:rsidRPr="006806C1">
          <w:rPr>
            <w:rFonts w:asciiTheme="majorHAnsi" w:hAnsiTheme="majorHAnsi"/>
          </w:rPr>
          <w:fldChar w:fldCharType="end"/>
        </w:r>
      </w:p>
    </w:sdtContent>
  </w:sdt>
  <w:p w:rsidR="009B2BC7" w:rsidRPr="006806C1" w:rsidRDefault="006806C1">
    <w:pPr>
      <w:pStyle w:val="Fuzeile"/>
      <w:rPr>
        <w:rFonts w:asciiTheme="majorHAnsi" w:hAnsiTheme="majorHAnsi"/>
      </w:rPr>
    </w:pPr>
    <w:r w:rsidRPr="006806C1">
      <w:rPr>
        <w:rFonts w:asciiTheme="majorHAnsi" w:hAnsiTheme="majorHAnsi"/>
      </w:rPr>
      <w:t>s_1_DATANIS_Social_Media_Hin</w:t>
    </w:r>
    <w:bookmarkStart w:id="12" w:name="_GoBack"/>
    <w:bookmarkEnd w:id="12"/>
    <w:r w:rsidRPr="006806C1">
      <w:rPr>
        <w:rFonts w:asciiTheme="majorHAnsi" w:hAnsiTheme="majorHAnsi"/>
      </w:rPr>
      <w:t>weise_Plattform_Version_101_Kundenversion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2D" w:rsidRDefault="00A0142D">
      <w:pPr>
        <w:spacing w:before="0" w:after="0"/>
      </w:pPr>
      <w:r>
        <w:separator/>
      </w:r>
    </w:p>
  </w:footnote>
  <w:footnote w:type="continuationSeparator" w:id="0">
    <w:p w:rsidR="00A0142D" w:rsidRDefault="00A014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C1" w:rsidRDefault="006806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C1" w:rsidRDefault="006806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73"/>
      <w:gridCol w:w="4874"/>
    </w:tblGrid>
    <w:tr w:rsidR="003D6352">
      <w:tc>
        <w:tcPr>
          <w:tcW w:w="2500" w:type="pct"/>
          <w:vAlign w:val="bottom"/>
        </w:tcPr>
        <w:p w:rsidR="003D6352" w:rsidRDefault="003D6352">
          <w:pPr>
            <w:spacing w:after="0"/>
          </w:pPr>
          <w:bookmarkStart w:id="1" w:name="OLE_LINK1"/>
          <w:bookmarkStart w:id="2" w:name="OLE_LINK2"/>
          <w:bookmarkStart w:id="3" w:name="_Hlk518060082"/>
          <w:bookmarkStart w:id="4" w:name="OLE_LINK3"/>
          <w:bookmarkStart w:id="5" w:name="OLE_LINK4"/>
          <w:bookmarkStart w:id="6" w:name="_Hlk518060102"/>
          <w:bookmarkStart w:id="7" w:name="_Hlk518060152"/>
          <w:bookmarkStart w:id="8" w:name="_Hlk518060153"/>
          <w:bookmarkStart w:id="9" w:name="OLE_LINK5"/>
          <w:bookmarkStart w:id="10" w:name="OLE_LINK6"/>
          <w:bookmarkStart w:id="11" w:name="_Hlk518060154"/>
        </w:p>
      </w:tc>
      <w:sdt>
        <w:sdtPr>
          <w:alias w:val="Auf Symbol klicken, um Bild zu ersetzen"/>
          <w:tag w:val="Auf Symbol klicken, um Bild zu ersetzen"/>
          <w:id w:val="-423115271"/>
          <w:picture/>
        </w:sdtPr>
        <w:sdtEndPr/>
        <w:sdtContent>
          <w:tc>
            <w:tcPr>
              <w:tcW w:w="2500" w:type="pct"/>
              <w:vAlign w:val="bottom"/>
            </w:tcPr>
            <w:p w:rsidR="003D6352" w:rsidRDefault="00423F45">
              <w:pPr>
                <w:pStyle w:val="Kopfzeile"/>
              </w:pPr>
              <w:r>
                <w:rPr>
                  <w:noProof/>
                </w:rPr>
                <w:drawing>
                  <wp:inline distT="0" distB="0" distL="0" distR="0">
                    <wp:extent cx="602175" cy="717593"/>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_logo120jpg.jpg"/>
                            <pic:cNvPicPr/>
                          </pic:nvPicPr>
                          <pic:blipFill>
                            <a:blip r:embed="rId1">
                              <a:extLst>
                                <a:ext uri="{28A0092B-C50C-407E-A947-70E740481C1C}">
                                  <a14:useLocalDpi xmlns:a14="http://schemas.microsoft.com/office/drawing/2010/main" val="0"/>
                                </a:ext>
                              </a:extLst>
                            </a:blip>
                            <a:stretch>
                              <a:fillRect/>
                            </a:stretch>
                          </pic:blipFill>
                          <pic:spPr>
                            <a:xfrm>
                              <a:off x="0" y="0"/>
                              <a:ext cx="602175" cy="717593"/>
                            </a:xfrm>
                            <a:prstGeom prst="rect">
                              <a:avLst/>
                            </a:prstGeom>
                          </pic:spPr>
                        </pic:pic>
                      </a:graphicData>
                    </a:graphic>
                  </wp:inline>
                </w:drawing>
              </w:r>
            </w:p>
          </w:tc>
        </w:sdtContent>
      </w:sdt>
    </w:tr>
    <w:bookmarkEnd w:id="1"/>
    <w:bookmarkEnd w:id="2"/>
    <w:bookmarkEnd w:id="3"/>
    <w:bookmarkEnd w:id="4"/>
    <w:bookmarkEnd w:id="5"/>
    <w:bookmarkEnd w:id="6"/>
    <w:bookmarkEnd w:id="7"/>
    <w:bookmarkEnd w:id="8"/>
    <w:bookmarkEnd w:id="9"/>
    <w:bookmarkEnd w:id="10"/>
    <w:bookmarkEnd w:id="11"/>
  </w:tbl>
  <w:p w:rsidR="003D6352" w:rsidRDefault="003D6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21B"/>
    <w:multiLevelType w:val="hybridMultilevel"/>
    <w:tmpl w:val="3B441CB0"/>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D07E1E"/>
    <w:multiLevelType w:val="hybridMultilevel"/>
    <w:tmpl w:val="7EB09196"/>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D94BAC"/>
    <w:multiLevelType w:val="hybridMultilevel"/>
    <w:tmpl w:val="8B06F82C"/>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6D3A3E"/>
    <w:multiLevelType w:val="hybridMultilevel"/>
    <w:tmpl w:val="2ADC8C3A"/>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862284"/>
    <w:multiLevelType w:val="hybridMultilevel"/>
    <w:tmpl w:val="CA884DDE"/>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A06965"/>
    <w:multiLevelType w:val="hybridMultilevel"/>
    <w:tmpl w:val="31BEBE94"/>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5"/>
    <w:rsid w:val="000017DB"/>
    <w:rsid w:val="000251C7"/>
    <w:rsid w:val="00033550"/>
    <w:rsid w:val="00047526"/>
    <w:rsid w:val="000A03AC"/>
    <w:rsid w:val="00101239"/>
    <w:rsid w:val="001069D6"/>
    <w:rsid w:val="00106F5A"/>
    <w:rsid w:val="0017144F"/>
    <w:rsid w:val="00192854"/>
    <w:rsid w:val="001C2353"/>
    <w:rsid w:val="001C39D4"/>
    <w:rsid w:val="001D36AB"/>
    <w:rsid w:val="00212D7F"/>
    <w:rsid w:val="00214893"/>
    <w:rsid w:val="0025111E"/>
    <w:rsid w:val="00253B0A"/>
    <w:rsid w:val="0027110A"/>
    <w:rsid w:val="0029268E"/>
    <w:rsid w:val="002977CE"/>
    <w:rsid w:val="003157C5"/>
    <w:rsid w:val="003572C2"/>
    <w:rsid w:val="003962EB"/>
    <w:rsid w:val="003C6CA5"/>
    <w:rsid w:val="003D28E4"/>
    <w:rsid w:val="003D6352"/>
    <w:rsid w:val="003E7DED"/>
    <w:rsid w:val="004109E6"/>
    <w:rsid w:val="00423F45"/>
    <w:rsid w:val="004930E6"/>
    <w:rsid w:val="004C2315"/>
    <w:rsid w:val="004D3A82"/>
    <w:rsid w:val="004E04DC"/>
    <w:rsid w:val="004E5622"/>
    <w:rsid w:val="00510411"/>
    <w:rsid w:val="00524316"/>
    <w:rsid w:val="00574C2D"/>
    <w:rsid w:val="0057695F"/>
    <w:rsid w:val="00634490"/>
    <w:rsid w:val="00647BF3"/>
    <w:rsid w:val="00654239"/>
    <w:rsid w:val="006806C1"/>
    <w:rsid w:val="006941DD"/>
    <w:rsid w:val="00694207"/>
    <w:rsid w:val="006C20AC"/>
    <w:rsid w:val="006E5068"/>
    <w:rsid w:val="00704CB1"/>
    <w:rsid w:val="007502BC"/>
    <w:rsid w:val="007A567B"/>
    <w:rsid w:val="007C5A3A"/>
    <w:rsid w:val="008216DD"/>
    <w:rsid w:val="008416E0"/>
    <w:rsid w:val="008810D1"/>
    <w:rsid w:val="00882DA1"/>
    <w:rsid w:val="00884F03"/>
    <w:rsid w:val="00897B2F"/>
    <w:rsid w:val="008B33B7"/>
    <w:rsid w:val="008D1DDA"/>
    <w:rsid w:val="008E3068"/>
    <w:rsid w:val="008F0F25"/>
    <w:rsid w:val="008F1F1A"/>
    <w:rsid w:val="009072B6"/>
    <w:rsid w:val="009137CA"/>
    <w:rsid w:val="00927164"/>
    <w:rsid w:val="00961F6A"/>
    <w:rsid w:val="009702EE"/>
    <w:rsid w:val="009922DE"/>
    <w:rsid w:val="009961A3"/>
    <w:rsid w:val="009A424B"/>
    <w:rsid w:val="009B2BC7"/>
    <w:rsid w:val="009E7F73"/>
    <w:rsid w:val="00A0142D"/>
    <w:rsid w:val="00A31425"/>
    <w:rsid w:val="00A95272"/>
    <w:rsid w:val="00AE6FCA"/>
    <w:rsid w:val="00AF4082"/>
    <w:rsid w:val="00B003EC"/>
    <w:rsid w:val="00B027B4"/>
    <w:rsid w:val="00B13194"/>
    <w:rsid w:val="00B56F67"/>
    <w:rsid w:val="00B65FDC"/>
    <w:rsid w:val="00B91E69"/>
    <w:rsid w:val="00B9267A"/>
    <w:rsid w:val="00B93F55"/>
    <w:rsid w:val="00BA2840"/>
    <w:rsid w:val="00BC3C31"/>
    <w:rsid w:val="00C23919"/>
    <w:rsid w:val="00C329D5"/>
    <w:rsid w:val="00C558A1"/>
    <w:rsid w:val="00CB7DD0"/>
    <w:rsid w:val="00D31F21"/>
    <w:rsid w:val="00D458B1"/>
    <w:rsid w:val="00D551E8"/>
    <w:rsid w:val="00D900FD"/>
    <w:rsid w:val="00D90B7F"/>
    <w:rsid w:val="00D96F67"/>
    <w:rsid w:val="00DE6D9B"/>
    <w:rsid w:val="00E15AD2"/>
    <w:rsid w:val="00E313E0"/>
    <w:rsid w:val="00E4136C"/>
    <w:rsid w:val="00E44D64"/>
    <w:rsid w:val="00E52B0C"/>
    <w:rsid w:val="00E53895"/>
    <w:rsid w:val="00E62F30"/>
    <w:rsid w:val="00E714E8"/>
    <w:rsid w:val="00F00E0D"/>
    <w:rsid w:val="00F056A5"/>
    <w:rsid w:val="00F06F64"/>
    <w:rsid w:val="00F40E43"/>
    <w:rsid w:val="00FC11BA"/>
    <w:rsid w:val="00FF5211"/>
    <w:rsid w:val="00FF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59B7C-C797-48AF-8011-8F09170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de-DE" w:eastAsia="de-DE"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20"/>
    </w:rPr>
  </w:style>
  <w:style w:type="paragraph" w:styleId="berschrift1">
    <w:name w:val="heading 1"/>
    <w:basedOn w:val="Standard"/>
    <w:next w:val="Standard"/>
    <w:link w:val="berschrift1Zch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style>
  <w:style w:type="character" w:customStyle="1" w:styleId="Betont">
    <w:name w:val="Betont"/>
    <w:basedOn w:val="Absatz-Standardschriftart"/>
    <w:uiPriority w:val="1"/>
    <w:unhideWhenUsed/>
    <w:qFormat/>
    <w:rPr>
      <w:b/>
      <w:bCs/>
    </w:rPr>
  </w:style>
  <w:style w:type="character" w:customStyle="1" w:styleId="KeinLeerraumZchn">
    <w:name w:val="Kein Leerraum Zchn"/>
    <w:basedOn w:val="Absatz-Standardschriftart"/>
    <w:link w:val="KeinLeerraum"/>
    <w:uiPriority w:val="1"/>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7E97AD" w:themeColor="accent1"/>
      <w:kern w:val="28"/>
      <w:sz w:val="48"/>
      <w:szCs w:val="4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table" w:customStyle="1" w:styleId="StatusberichtTabelle">
    <w:name w:val="Statusbericht Tabelle"/>
    <w:basedOn w:val="NormaleTabelle"/>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table" w:styleId="EinfacheTabelle1">
    <w:name w:val="Plain Table 1"/>
    <w:basedOn w:val="NormaleTabelle"/>
    <w:uiPriority w:val="40"/>
    <w:rsid w:val="001D36A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0017DB"/>
    <w:pPr>
      <w:ind w:left="720"/>
      <w:contextualSpacing/>
    </w:pPr>
  </w:style>
  <w:style w:type="table" w:styleId="TabellemithellemGitternetz">
    <w:name w:val="Grid Table Light"/>
    <w:basedOn w:val="NormaleTabelle"/>
    <w:uiPriority w:val="45"/>
    <w:rsid w:val="009A424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Web3">
    <w:name w:val="Table Web 3"/>
    <w:basedOn w:val="NormaleTabelle"/>
    <w:uiPriority w:val="99"/>
    <w:rsid w:val="00E62F3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infacheTabelle4">
    <w:name w:val="Plain Table 4"/>
    <w:basedOn w:val="NormaleTabelle"/>
    <w:uiPriority w:val="43"/>
    <w:rsid w:val="002977C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40E4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E43"/>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g\AppData\Roaming\Microsoft\Templates\Projektstatusbericht.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DA7A1FE0-6319-4EDF-97FA-0F471DAB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Projektstatusbericht</Template>
  <TotalTime>0</TotalTime>
  <Pages>1</Pages>
  <Words>294</Words>
  <Characters>1855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s_1_DATANIS_Social_Media_Hinweise_Plattform_Version_101_Kundenversion</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s_1_DATANIS_Social_Media_Hinweise_Plattform_Version_101_Kundenversion</dc:title>
  <dc:creator>tfg</dc:creator>
  <cp:keywords/>
  <cp:lastModifiedBy>Doris Kühner</cp:lastModifiedBy>
  <cp:revision>4</cp:revision>
  <dcterms:created xsi:type="dcterms:W3CDTF">2018-07-13T12:57:00Z</dcterms:created>
  <dcterms:modified xsi:type="dcterms:W3CDTF">2018-07-13T14:09:00Z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